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3771900"/>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771900"/>
                    </a:xfrm>
                    <a:prstGeom prst="rect">
                      <a:avLst/>
                    </a:prstGeom>
                  </pic:spPr>
                </pic:pic>
              </a:graphicData>
            </a:graphic>
          </wp:inline>
        </w:drawing>
      </w:r>
    </w:p>
    <w:p>
      <w:pPr>
        <w:spacing w:after="240"/>
        <w:jc w:val="right"/>
      </w:pPr>
      <w:r>
        <w:rPr>
          <w:rFonts w:ascii="Calibri" w:cs="Calibri" w:eastAsia="Calibri" w:hAnsi="Calibri"/>
          <w:color w:val="6B5F69"/>
          <w:sz w:val="16"/>
          <w:szCs w:val="16"/>
        </w:rPr>
        <w:t xml:space="preserve">Photo: University of Kansas Biodiversity Institute, CC BY 4.0, via Wikimedia Commons</w:t>
      </w:r>
    </w:p>
    <w:p>
      <w:pPr>
        <w:pStyle w:val="Title"/>
      </w:pPr>
      <w:r>
        <w:t xml:space="preserve">A Frog Named for a Furrow</w:t>
      </w:r>
    </w:p>
    <w:p>
      <w:r>
        <w:t xml:space="preserve">If you send me an email, you are writing to a frog.</w:t>
      </w:r>
    </w:p>
    <w:p>
      <w:r>
        <w:t xml:space="preserve">My address begins with </w:t>
      </w:r>
      <w:r>
        <w:rPr>
          <w:i/>
          <w:iCs/>
        </w:rPr>
        <w:t xml:space="preserve">lirellus</w:t>
      </w:r>
      <w:r>
        <w:t xml:space="preserve">, the name of the first species I described on my own. It is a small brown frog from the forested foothills of the Andes in northern Perú. Its name is a small picture in Latin: a low ridge of earth, the kind a plough leaves behind in a field.</w:t>
      </w:r>
    </w:p>
    <w:p>
      <w:pPr>
        <w:pStyle w:val="Heading1"/>
      </w:pPr>
      <w:r>
        <w:t xml:space="preserve">A frog in a jar</w:t>
      </w:r>
    </w:p>
    <w:p>
      <w:r>
        <w:t xml:space="preserve">I never met this frog in its forest. In February 1989 a field party from the University of Kansas, working under the frog expert William E. Duellman, collected in the Departamento San Martín in north-central Perú, in the drainage of the Río Mayo. Among their catch were several small frogs of the genus </w:t>
      </w:r>
      <w:r>
        <w:rPr>
          <w:i/>
          <w:iCs/>
        </w:rPr>
        <w:t xml:space="preserve">Eleutherodactylus</w:t>
      </w:r>
      <w:r>
        <w:t xml:space="preserve"> that did not seem to match any named species. They were preserved in the field and brought back to the Natural History Museum in Lawrence, Kansas.</w:t>
      </w:r>
    </w:p>
    <w:p>
      <w:r>
        <w:t xml:space="preserve">In August 1990 I started my PhD studies at the University of Kansas, in the museum's Division of Herpetology. Bill Duellman made me aware of the new frog and, as I wrote in the paper, deferred its description to me.</w:t>
      </w:r>
    </w:p>
    <w:p>
      <w:r>
        <w:t xml:space="preserve">The frogs came from three places between 470 and 1200 metres above sea level, on the Atlantic slopes of the Cordillera Oriental, where ridges run down from the Andes into the Amazon Basin. They had been found at night, sitting on low plants beside narrow streams, 3 to 5 metres wide, that run through deep, forested gorges.</w:t>
      </w:r>
    </w:p>
    <w:p>
      <w:pPr>
        <w:keepNext/>
        <w:spacing w:after="80" w:before="240"/>
        <w:jc w:val="center"/>
      </w:pPr>
      <w:r>
        <w:drawing>
          <wp:inline distT="0" distB="0" distL="0" distR="0">
            <wp:extent cx="5486400" cy="3733800"/>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3733800"/>
                    </a:xfrm>
                    <a:prstGeom prst="rect">
                      <a:avLst/>
                    </a:prstGeom>
                  </pic:spPr>
                </pic:pic>
              </a:graphicData>
            </a:graphic>
          </wp:inline>
        </w:drawing>
      </w:r>
    </w:p>
    <w:p>
      <w:pPr>
        <w:spacing w:after="280"/>
      </w:pPr>
      <w:r>
        <w:rPr>
          <w:rFonts w:ascii="Calibri" w:cs="Calibri" w:eastAsia="Calibri" w:hAnsi="Calibri"/>
          <w:sz w:val="19"/>
          <w:szCs w:val="19"/>
        </w:rPr>
        <w:t xml:space="preserve">Forest-covered ridges of the Cordillera Escalera in Perú's San Martín region. The new frog lives in lower montane forest in this part of Perú.</w:t>
      </w:r>
      <w:r>
        <w:rPr>
          <w:rFonts w:ascii="Calibri" w:cs="Calibri" w:eastAsia="Calibri" w:hAnsi="Calibri"/>
          <w:color w:val="6B5F69"/>
          <w:sz w:val="16"/>
          <w:szCs w:val="16"/>
        </w:rPr>
        <w:t xml:space="preserve">  Photo: Kristi Denby/Archivo Centro Takiwasi, CC BY-SA 4.0, via Wikimedia Commons</w:t>
      </w:r>
    </w:p>
    <w:p>
      <w:r>
        <w:t xml:space="preserve">Every species has a holotype: the single specimen that officially carries its name, so that anyone in the future can check what the name really means. For my frog it is KU 212240, a female full of eggs, 23.7 mm from snout to vent, caught by Duellman on 5 February 1989 on the western slope of Abra Tangarana, a mountain pass at 1080 m.</w:t>
      </w:r>
    </w:p>
    <w:p>
      <w:pPr>
        <w:pStyle w:val="Heading1"/>
      </w:pPr>
      <w:r>
        <w:t xml:space="preserve">When the colours fade</w:t>
      </w:r>
    </w:p>
    <w:p>
      <w:r>
        <w:t xml:space="preserve">Small brown frogs are notoriously hard to tell apart, and this one had five look-alikes in the upper Amazon Basin. All six species have bright yellow or orange patches in the groin. These "flash colours" are tucked away when a frog sits still and show when it stretches its hind legs. In life the colour and shape of these spots make the species fairly easy to separate.</w:t>
      </w:r>
    </w:p>
    <w:p>
      <w:r>
        <w:t xml:space="preserve">In a museum jar they are not. In preservative the colours fade quickly. My frog's pale yellow or orange-yellow groin spots turn cream, or simply see-through. Everything I knew about its living colours came from Duellman's field notes and his colour slides.</w:t>
      </w:r>
    </w:p>
    <w:p>
      <w:r>
        <w:t xml:space="preserve">So I measured instead. With dial calipers and a dissecting microscope I took measurements to the nearest tenth of a millimetre on 37 specimens of the new frog and 166 specimens of its five look-alikes from the Kansas collection. Then I used a statistical method called discriminant analysis. It looks for the combination of measurements that best separates groups, and then checks how often each frog would be sorted into the right one.</w:t>
      </w:r>
    </w:p>
    <w:p>
      <w:r>
        <w:t xml:space="preserve">Only three measurements were needed: body length, head width and the length of the shin. On average the analysis placed the new species in its own group 86.7% of the time, more often than any of the other five. In the paper I called the measurements "a welcome and refreshingly unequivocal line of evidence." The same numbers hinted that one of the other species, </w:t>
      </w:r>
      <w:r>
        <w:rPr>
          <w:i/>
          <w:iCs/>
        </w:rPr>
        <w:t xml:space="preserve">E. carvalhoi</w:t>
      </w:r>
      <w:r>
        <w:t xml:space="preserve">, might really be more than one species hiding under a single name.</w:t>
      </w:r>
    </w:p>
    <w:p>
      <w:r>
        <w:t xml:space="preserve">Hinrich Kaiser, today my husband, helped me with the statistics and read the manuscript critically. I thanked him for it in the acknowledgements.</w:t>
      </w:r>
    </w:p>
    <w:p>
      <w:pPr>
        <w:pStyle w:val="Heading1"/>
      </w:pPr>
      <w:r>
        <w:t xml:space="preserve">What makes it different</w:t>
      </w:r>
    </w:p>
    <w:p>
      <w:r>
        <w:rPr>
          <w:i/>
          <w:iCs/>
        </w:rPr>
        <w:t xml:space="preserve">Eleutherodactylus lirellus</w:t>
      </w:r>
      <w:r>
        <w:t xml:space="preserve"> is small even for its group. Adult females measure 19.4 to 24.0 mm, and the three adult males I had were only 14.1 to 17.0 mm, about the length of a fingernail. By day it is dark brown to reddish brown; at night it can be pale tan. Its eardrum is hidden under the skin, its fingers and toes carry narrow fringes along their sides, and each groin has a single pale yellow to orange-yellow spot. Males have a yellow vocal sac, the balloon of skin under the throat that swells when a frog calls. The iris is reddish brown or bronze with a red streak across the middle.</w:t>
      </w:r>
    </w:p>
    <w:p>
      <w:pPr>
        <w:keepNext/>
        <w:spacing w:after="80" w:before="240"/>
        <w:jc w:val="center"/>
      </w:pPr>
      <w:r>
        <w:drawing>
          <wp:inline distT="0" distB="0" distL="0" distR="0">
            <wp:extent cx="4362450" cy="4572000"/>
            <wp:effectExtent t="0" r="0" b="0" l="0"/>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362450" cy="4572000"/>
                    </a:xfrm>
                    <a:prstGeom prst="rect">
                      <a:avLst/>
                    </a:prstGeom>
                  </pic:spPr>
                </pic:pic>
              </a:graphicData>
            </a:graphic>
          </wp:inline>
        </w:drawing>
      </w:r>
    </w:p>
    <w:p>
      <w:pPr>
        <w:spacing w:after="280"/>
      </w:pPr>
      <w:r>
        <w:rPr>
          <w:rFonts w:ascii="Calibri" w:cs="Calibri" w:eastAsia="Calibri" w:hAnsi="Calibri"/>
          <w:sz w:val="19"/>
          <w:szCs w:val="19"/>
        </w:rPr>
        <w:t xml:space="preserve">The hand (left) and foot (right) of the holotype, drawn under the microscope. The signature "Dwyer '94" is in the lower right corner.</w:t>
      </w:r>
      <w:r>
        <w:rPr>
          <w:rFonts w:ascii="Calibri" w:cs="Calibri" w:eastAsia="Calibri" w:hAnsi="Calibri"/>
          <w:color w:val="6B5F69"/>
          <w:sz w:val="16"/>
          <w:szCs w:val="16"/>
        </w:rPr>
        <w:t xml:space="preserve">  Drawing: Christine M. Dwyer, from Dwyer 1995, Amphibia-Reptilia</w:t>
      </w:r>
    </w:p>
    <w:p>
      <w:r>
        <w:t xml:space="preserve">I drew the hand and foot myself, looking through a dissecting microscope with a camera lucida. That is an old optical trick: a small prism lets you see the specimen and your drawing paper at the same time, so you can trace what is under the lens. The drawing is signed "Dwyer '94", my maiden name. Tracing this way puts every tubercle, the small bumps under the fingers and toes, exactly where it sits on the specimen.</w:t>
      </w:r>
    </w:p>
    <w:p>
      <w:pPr>
        <w:pStyle w:val="Heading1"/>
      </w:pPr>
      <w:r>
        <w:t xml:space="preserve">The name</w:t>
      </w:r>
    </w:p>
    <w:p>
      <w:pPr>
        <w:spacing w:after="0"/>
      </w:pPr>
    </w:p>
    <w:tbl>
      <w:tblPr>
        <w:tblW w:type="pct" w:w="5000"/>
        <w:tblBorders>
          <w:top w:val="single" w:color="DDD1DA" w:sz="6"/>
          <w:left w:val="single" w:color="DDD1DA" w:sz="6"/>
          <w:bottom w:val="single" w:color="DDD1DA" w:sz="6"/>
          <w:right w:val="single" w:color="DDD1DA" w:sz="6"/>
          <w:insideH w:val="single" w:color="DDD1DA" w:sz="6"/>
          <w:insideV w:val="single" w:color="DDD1DA" w:sz="6"/>
        </w:tblBorders>
      </w:tblPr>
      <w:tblGrid>
        <w:gridCol w:w="9640"/>
      </w:tblGrid>
      <w:tr>
        <w:tc>
          <w:tcPr>
            <w:shd w:fill="F3EEF2" w:color="auto" w:val="clear"/>
            <w:tcMar>
              <w:top w:type="dxa" w:w="200"/>
              <w:left w:type="dxa" w:w="240"/>
              <w:bottom w:type="dxa" w:w="120"/>
              <w:right w:type="dxa" w:w="240"/>
            </w:tcMar>
          </w:tcPr>
          <w:p>
            <w:pPr>
              <w:pStyle w:val="FactTitle"/>
            </w:pPr>
            <w:r>
              <w:t xml:space="preserve">A little plough ridge</w:t>
            </w:r>
          </w:p>
          <w:p>
            <w:pPr>
              <w:pStyle w:val="FactText"/>
            </w:pPr>
            <w:r>
              <w:t xml:space="preserve">In Latin, </w:t>
            </w:r>
            <w:r>
              <w:rPr>
                <w:i/>
                <w:iCs/>
              </w:rPr>
              <w:t xml:space="preserve">lira</w:t>
            </w:r>
            <w:r>
              <w:t xml:space="preserve"> is a ridge of earth thrown up when a field is ploughed, and </w:t>
            </w:r>
            <w:r>
              <w:rPr>
                <w:i/>
                <w:iCs/>
              </w:rPr>
              <w:t xml:space="preserve">lirellus</w:t>
            </w:r>
            <w:r>
              <w:t xml:space="preserve"> is its diminutive: a little ridge. The frog has a narrow, brown ridge of glandular skin running along each side of its back, and that ridge looks just like one.</w:t>
            </w:r>
          </w:p>
        </w:tc>
      </w:tr>
    </w:tbl>
    <w:p>
      <w:pPr>
        <w:spacing w:after="120"/>
      </w:pPr>
    </w:p>
    <w:p>
      <w:r>
        <w:t xml:space="preserve">The paper was received by the journal </w:t>
      </w:r>
      <w:r>
        <w:rPr>
          <w:i/>
          <w:iCs/>
        </w:rPr>
        <w:t xml:space="preserve">Amphibia-Reptilia</w:t>
      </w:r>
      <w:r>
        <w:t xml:space="preserve"> on 16 August 1994 and accepted on 9 January 1995. The name has changed a little since then. The enormous genus </w:t>
      </w:r>
      <w:r>
        <w:rPr>
          <w:i/>
          <w:iCs/>
        </w:rPr>
        <w:t xml:space="preserve">Eleutherodactylus</w:t>
      </w:r>
      <w:r>
        <w:t xml:space="preserve"> has been split into several genera, and my frog is now called </w:t>
      </w:r>
      <w:r>
        <w:rPr>
          <w:i/>
          <w:iCs/>
        </w:rPr>
        <w:t xml:space="preserve">Pristimantis lirellus</w:t>
      </w:r>
      <w:r>
        <w:t xml:space="preserve">. The part I chose has stayed the same, and so has my email address: </w:t>
      </w:r>
      <w:hyperlink w:history="1" r:id="rIdm8g8vh_mzkfg3q4_unkmp">
        <w:r>
          <w:rPr>
            <w:rStyle w:val="Hyperlink"/>
          </w:rPr>
          <w:t xml:space="preserve">Lirellus@yahoo.com</w:t>
        </w:r>
      </w:hyperlink>
      <w:r>
        <w:t xml:space="preserve">. Hinrich did much the same with a frog of his own, the copper-eyed </w:t>
      </w:r>
      <w:r>
        <w:rPr>
          <w:i/>
          <w:iCs/>
        </w:rPr>
        <w:t xml:space="preserve">chalcopis</w:t>
      </w:r>
      <w:r>
        <w:t xml:space="preserve"> from Martinique.</w:t>
      </w:r>
    </w:p>
    <w:p>
      <w:pPr>
        <w:pStyle w:val="Heading1"/>
      </w:pPr>
      <w:r>
        <w:t xml:space="preserve">From Kansas to Würzburg</w:t>
      </w:r>
    </w:p>
    <w:p>
      <w:r>
        <w:t xml:space="preserve">Most of the work on the specimens was done in Lawrence while I was a graduate student at the museum. There was work closer to home, too: I was one of five authors of a 79-page survey of the amphibians and reptiles of the Fort Riley Military Reservation, published by the Kansas Biological Survey in 1994.</w:t>
      </w:r>
    </w:p>
    <w:p>
      <w:pPr>
        <w:keepNext/>
        <w:spacing w:after="80" w:before="240"/>
        <w:jc w:val="center"/>
      </w:pPr>
      <w:r>
        <w:drawing>
          <wp:inline distT="0" distB="0" distL="0" distR="0">
            <wp:extent cx="5486400" cy="3771900"/>
            <wp:effectExtent t="0" r="0" b="0" l="0"/>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3771900"/>
                    </a:xfrm>
                    <a:prstGeom prst="rect">
                      <a:avLst/>
                    </a:prstGeom>
                  </pic:spPr>
                </pic:pic>
              </a:graphicData>
            </a:graphic>
          </wp:inline>
        </w:drawing>
      </w:r>
    </w:p>
    <w:p>
      <w:pPr>
        <w:spacing w:after="280"/>
      </w:pPr>
      <w:r>
        <w:rPr>
          <w:rFonts w:ascii="Calibri" w:cs="Calibri" w:eastAsia="Calibri" w:hAnsi="Calibri"/>
          <w:sz w:val="19"/>
          <w:szCs w:val="19"/>
        </w:rPr>
        <w:t xml:space="preserve">Dyche Hall, home of the University of Kansas Natural History Museum in Lawrence.</w:t>
      </w:r>
      <w:r>
        <w:rPr>
          <w:rFonts w:ascii="Calibri" w:cs="Calibri" w:eastAsia="Calibri" w:hAnsi="Calibri"/>
          <w:color w:val="6B5F69"/>
          <w:sz w:val="16"/>
          <w:szCs w:val="16"/>
        </w:rPr>
        <w:t xml:space="preserve">  Photo: Ajohnson360, CC BY-SA 3.0, via Wikimedia Commons</w:t>
      </w:r>
    </w:p>
    <w:p>
      <w:r>
        <w:t xml:space="preserve">By the time the paper was finished I had moved to Würzburg, Germany. My address on the paper is the Institute of Human Genetics at the university's Biozentrum, where I worked as a technical assistant in chromosome testing. Chromosomes are the packages of DNA inside every cell. Counting them and comparing their shapes is a medical test in people, and in frogs it can help tell one species from another. The institute even paid part of the cost of publishing my frog.</w:t>
      </w:r>
    </w:p>
    <w:p>
      <w:pPr>
        <w:keepNext/>
        <w:spacing w:after="80" w:before="240"/>
        <w:jc w:val="center"/>
      </w:pPr>
      <w:r>
        <w:drawing>
          <wp:inline distT="0" distB="0" distL="0" distR="0">
            <wp:extent cx="5486400" cy="4114800"/>
            <wp:effectExtent t="0" r="0" b="0" l="0"/>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4114800"/>
                    </a:xfrm>
                    <a:prstGeom prst="rect">
                      <a:avLst/>
                    </a:prstGeom>
                  </pic:spPr>
                </pic:pic>
              </a:graphicData>
            </a:graphic>
          </wp:inline>
        </w:drawing>
      </w:r>
    </w:p>
    <w:p>
      <w:pPr>
        <w:spacing w:after="280"/>
      </w:pPr>
      <w:r>
        <w:rPr>
          <w:rFonts w:ascii="Calibri" w:cs="Calibri" w:eastAsia="Calibri" w:hAnsi="Calibri"/>
          <w:sz w:val="19"/>
          <w:szCs w:val="19"/>
        </w:rPr>
        <w:t xml:space="preserve">The Biozentrum of the University of Würzburg on the Hubland campus, where the Institute of Human Genetics was based.</w:t>
      </w:r>
      <w:r>
        <w:rPr>
          <w:rFonts w:ascii="Calibri" w:cs="Calibri" w:eastAsia="Calibri" w:hAnsi="Calibri"/>
          <w:color w:val="6B5F69"/>
          <w:sz w:val="16"/>
          <w:szCs w:val="16"/>
        </w:rPr>
        <w:t xml:space="preserve">  Photo: Daderot, CC0, via Wikimedia Commons</w:t>
      </w:r>
    </w:p>
    <w:p>
      <w:pPr>
        <w:pStyle w:val="Heading1"/>
      </w:pPr>
      <w:r>
        <w:t xml:space="preserve">A second frog, from Tobago</w:t>
      </w:r>
    </w:p>
    <w:p>
      <w:r>
        <w:t xml:space="preserve">That link between frogs and chromosomes produced a second species the same year. The small whistling frogs of the forests on Tobago had always been counted as a Venezuelan species. Near the village of Charlotteville, Wolfgang Feichtinger and Michael Schmid of the Würzburg institute noticed that the frogs they heard sounded wrong for it. Their calls, their body shape and their chromosomes all turned out to be different.</w:t>
      </w:r>
    </w:p>
    <w:p>
      <w:r>
        <w:t xml:space="preserve">In 1995 Hinrich, Wolfgang, Michael and I described the Tobago frog as </w:t>
      </w:r>
      <w:r>
        <w:rPr>
          <w:i/>
          <w:iCs/>
        </w:rPr>
        <w:t xml:space="preserve">Eleutherodactylus charlottevillensis</w:t>
      </w:r>
      <w:r>
        <w:t xml:space="preserve">, today </w:t>
      </w:r>
      <w:r>
        <w:rPr>
          <w:i/>
          <w:iCs/>
        </w:rPr>
        <w:t xml:space="preserve">Pristimantis charlottevillensis</w:t>
      </w:r>
      <w:r>
        <w:t xml:space="preserve">. The title of the paper promised a "morphometric and cytogenetic characterization": measurements, as with my Peruvian frog, plus chromosomes. We named it after Charlotteville, "whose friendly populace has aided herpetologists during their surveys for many decades." It lives nowhere else in the world.</w:t>
      </w:r>
    </w:p>
    <w:p>
      <w:pPr>
        <w:keepNext/>
        <w:spacing w:after="80" w:before="240"/>
        <w:jc w:val="center"/>
      </w:pPr>
      <w:r>
        <w:drawing>
          <wp:inline distT="0" distB="0" distL="0" distR="0">
            <wp:extent cx="5486400" cy="3648075"/>
            <wp:effectExtent t="0" r="0" b="0" l="0"/>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86400" cy="3648075"/>
                    </a:xfrm>
                    <a:prstGeom prst="rect">
                      <a:avLst/>
                    </a:prstGeom>
                  </pic:spPr>
                </pic:pic>
              </a:graphicData>
            </a:graphic>
          </wp:inline>
        </w:drawing>
      </w:r>
    </w:p>
    <w:p>
      <w:pPr>
        <w:spacing w:after="280"/>
      </w:pPr>
      <w:r>
        <w:rPr>
          <w:rFonts w:ascii="Calibri" w:cs="Calibri" w:eastAsia="Calibri" w:hAnsi="Calibri"/>
          <w:sz w:val="19"/>
          <w:szCs w:val="19"/>
        </w:rPr>
        <w:t xml:space="preserve">A small greenish-brown frog perches on a twig in the Tobago forest at night.</w:t>
      </w:r>
      <w:r>
        <w:rPr>
          <w:rFonts w:ascii="Calibri" w:cs="Calibri" w:eastAsia="Calibri" w:hAnsi="Calibri"/>
          <w:color w:val="6B5F69"/>
          <w:sz w:val="16"/>
          <w:szCs w:val="16"/>
        </w:rPr>
        <w:t xml:space="preserve">  Photo: Stephanie Tran, CC BY 4.0, via Wikimedia Commons</w:t>
      </w:r>
    </w:p>
    <w:p>
      <w:r>
        <w:t xml:space="preserve">So 1995 was the year I named my first two species: one alone, from a jar in Kansas, and one with three colleagues, from a Caribbean island. It took more than two decades, and a switch from frogs to snakes, before I named the next one.</w:t>
      </w:r>
    </w:p>
    <w:p>
      <w:pPr>
        <w:pStyle w:val="Heading1"/>
      </w:pPr>
      <w:r>
        <w:t xml:space="preserve">At a glance</w:t>
      </w:r>
    </w:p>
    <w:p>
      <w:pPr>
        <w:pStyle w:val="Small"/>
        <w:spacing w:after="40"/>
      </w:pPr>
      <w:r>
        <w:rPr>
          <w:b/>
          <w:bCs/>
        </w:rPr>
        <w:t xml:space="preserve">Where: </w:t>
      </w:r>
      <w:r>
        <w:t xml:space="preserve">Abra Tangarana, Río Mayo drainage, San Martín, Perú</w:t>
      </w:r>
    </w:p>
    <w:p>
      <w:pPr>
        <w:pStyle w:val="Small"/>
        <w:spacing w:after="40"/>
      </w:pPr>
      <w:r>
        <w:rPr>
          <w:b/>
          <w:bCs/>
        </w:rPr>
        <w:t xml:space="preserve">When: </w:t>
      </w:r>
      <w:r>
        <w:t xml:space="preserve">1989–1995</w:t>
      </w:r>
    </w:p>
    <w:p>
      <w:pPr>
        <w:pStyle w:val="Heading1"/>
      </w:pPr>
      <w:r>
        <w:t xml:space="preserve">The papers</w:t>
      </w:r>
    </w:p>
    <w:p>
      <w:pPr>
        <w:pStyle w:val="Small"/>
        <w:numPr>
          <w:ilvl w:val="0"/>
          <w:numId w:val="2"/>
        </w:numPr>
      </w:pPr>
      <w:r>
        <w:rPr>
          <w:b w:val="false"/>
          <w:bCs w:val="false"/>
        </w:rPr>
        <w:t xml:space="preserve">Busby WH, Parmelee JR, </w:t>
      </w:r>
      <w:r>
        <w:rPr>
          <w:b/>
          <w:bCs/>
        </w:rPr>
        <w:t xml:space="preserve">Dwyer CM</w:t>
      </w:r>
      <w:r>
        <w:rPr>
          <w:b w:val="false"/>
          <w:bCs w:val="false"/>
        </w:rPr>
        <w:t xml:space="preserve">, Hooper ED, Irwin KJ</w:t>
      </w:r>
      <w:r>
        <w:t xml:space="preserve"> (1994) </w:t>
      </w:r>
      <w:r>
        <w:t xml:space="preserve">A survey of the herpetofauna on the Fort Riley Military Reservation, Kansas</w:t>
      </w:r>
      <w:r>
        <w:t xml:space="preserve"> </w:t>
      </w:r>
      <w:r>
        <w:rPr>
          <w:i/>
          <w:iCs/>
        </w:rPr>
        <w:t xml:space="preserve">Kansas Biological Survey Report</w:t>
      </w:r>
      <w:r>
        <w:t xml:space="preserve"> 58: 1–79</w:t>
      </w:r>
    </w:p>
    <w:p>
      <w:pPr>
        <w:pStyle w:val="Small"/>
        <w:numPr>
          <w:ilvl w:val="0"/>
          <w:numId w:val="2"/>
        </w:numPr>
      </w:pPr>
      <w:r>
        <w:rPr>
          <w:b/>
          <w:bCs/>
        </w:rPr>
        <w:t xml:space="preserve">Dwyer CM</w:t>
      </w:r>
      <w:r>
        <w:t xml:space="preserve"> (1995) </w:t>
      </w:r>
      <w:hyperlink w:history="1" r:id="rIdjoxc5h4pa29g7kvjeq-ap">
        <w:r>
          <w:rPr>
            <w:rStyle w:val="Hyperlink"/>
          </w:rPr>
          <w:t xml:space="preserve">A new species of </w:t>
        </w:r>
        <w:r>
          <w:rPr>
            <w:rStyle w:val="Hyperlink"/>
            <w:i/>
            <w:iCs/>
          </w:rPr>
          <w:t xml:space="preserve">Eleutherodactylus</w:t>
        </w:r>
        <w:r>
          <w:rPr>
            <w:rStyle w:val="Hyperlink"/>
          </w:rPr>
          <w:t xml:space="preserve"> (Anura: Leptodactylidae) from Perú and its morphometric characterization</w:t>
        </w:r>
      </w:hyperlink>
      <w:r>
        <w:t xml:space="preserve"> </w:t>
      </w:r>
      <w:r>
        <w:rPr>
          <w:i/>
          <w:iCs/>
        </w:rPr>
        <w:t xml:space="preserve">Amphibia-Reptilia</w:t>
      </w:r>
      <w:r>
        <w:t xml:space="preserve"> 16: 245–256</w:t>
      </w:r>
    </w:p>
    <w:p>
      <w:pPr>
        <w:pStyle w:val="Small"/>
        <w:numPr>
          <w:ilvl w:val="0"/>
          <w:numId w:val="2"/>
        </w:numPr>
      </w:pPr>
      <w:r>
        <w:rPr>
          <w:b w:val="false"/>
          <w:bCs w:val="false"/>
        </w:rPr>
        <w:t xml:space="preserve">Kaiser H, </w:t>
      </w:r>
      <w:r>
        <w:rPr>
          <w:b/>
          <w:bCs/>
        </w:rPr>
        <w:t xml:space="preserve">Dwyer CM</w:t>
      </w:r>
      <w:r>
        <w:rPr>
          <w:b w:val="false"/>
          <w:bCs w:val="false"/>
        </w:rPr>
        <w:t xml:space="preserve">, Feichtinger W, Schmid M</w:t>
      </w:r>
      <w:r>
        <w:t xml:space="preserve"> (1995) </w:t>
      </w:r>
      <w:r>
        <w:t xml:space="preserve">A new species of </w:t>
      </w:r>
      <w:r>
        <w:rPr>
          <w:i/>
          <w:iCs/>
        </w:rPr>
        <w:t xml:space="preserve">Eleutherodactylus</w:t>
      </w:r>
      <w:r>
        <w:t xml:space="preserve"> (Anura: Leptodactylidae) from Tobago, West Indies, and its morphometric and cytogenetic characterization</w:t>
      </w:r>
      <w:r>
        <w:t xml:space="preserve"> </w:t>
      </w:r>
      <w:r>
        <w:rPr>
          <w:i/>
          <w:iCs/>
        </w:rPr>
        <w:t xml:space="preserve">Herpetological Natural History</w:t>
      </w:r>
      <w:r>
        <w:t xml:space="preserve"> 3: 151–163</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5F69"/>
        <w:sz w:val="16"/>
        <w:szCs w:val="16"/>
      </w:rPr>
      <w:t xml:space="preserve">A Frog Named for a Furrow · Christine Kaiser · </w:t>
    </w:r>
    <w:r>
      <w:rPr>
        <w:rFonts w:ascii="Calibri" w:cs="Calibri" w:eastAsia="Calibri" w:hAnsi="Calibri"/>
        <w:color w:val="6B5F6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221A20"/>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221A20"/>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221A20"/>
      <w:sz w:val="26"/>
      <w:szCs w:val="26"/>
    </w:rPr>
  </w:style>
  <w:style w:type="paragraph" w:styleId="PullQuote">
    <w:name w:val="Pull Quote"/>
    <w:basedOn w:val="Normal"/>
    <w:next w:val="Normal"/>
    <w:pPr>
      <w:pBdr>
        <w:left w:val="single" w:color="1D6F6F" w:sz="18" w:space="12"/>
      </w:pBdr>
      <w:spacing w:after="280" w:before="280" w:line="300"/>
      <w:ind w:left="360"/>
    </w:pPr>
    <w:rPr>
      <w:i/>
      <w:iCs/>
      <w:color w:val="221A20"/>
      <w:sz w:val="28"/>
      <w:szCs w:val="28"/>
    </w:rPr>
  </w:style>
  <w:style w:type="paragraph" w:styleId="FactTitle">
    <w:name w:val="Fact Title"/>
    <w:basedOn w:val="Normal"/>
    <w:next w:val="FactText"/>
    <w:pPr>
      <w:spacing w:after="100"/>
    </w:pPr>
    <w:rPr>
      <w:rFonts w:ascii="Georgia" w:cs="Georgia" w:eastAsia="Georgia" w:hAnsi="Georgia"/>
      <w:b/>
      <w:bCs/>
      <w:color w:val="1D6F6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1D6F6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m8g8vh_mzkfg3q4_unkmp" Type="http://schemas.openxmlformats.org/officeDocument/2006/relationships/hyperlink" Target="mailto:Lirellus@yahoo.com" TargetMode="External"/><Relationship Id="rIdjoxc5h4pa29g7kvjeq-ap" Type="http://schemas.openxmlformats.org/officeDocument/2006/relationships/hyperlink" Target="https://doi.org/10.1163/156853895X00082" TargetMode="External"/><Relationship Id="rId8" Type="http://schemas.openxmlformats.org/officeDocument/2006/relationships/image" Target="media/70d22ebb1cbcf5e52244f2d3fcf769bcc8c3be47.jpg"/><Relationship Id="rId9" Type="http://schemas.openxmlformats.org/officeDocument/2006/relationships/image" Target="media/daa9d5ae27382f183565f8c9a896557d30fec897.jpg"/><Relationship Id="rId10" Type="http://schemas.openxmlformats.org/officeDocument/2006/relationships/image" Target="media/0f843c79495c6e8783d1a07bf4571abe92ee418b.jpg"/><Relationship Id="rId11" Type="http://schemas.openxmlformats.org/officeDocument/2006/relationships/image" Target="media/9152da09fa8f1b2fda3b87185b3be28b5a8c7458.jpg"/><Relationship Id="rId12" Type="http://schemas.openxmlformats.org/officeDocument/2006/relationships/image" Target="media/942881d64482183d1b87a6d9ea44ba9660d6c51a.jpg"/><Relationship Id="rId13" Type="http://schemas.openxmlformats.org/officeDocument/2006/relationships/image" Target="media/5eb68a043093bfd4ffeb61a58cd81d8b6f675240.jp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Frog Named for a Furrow</dc:title>
  <dc:creator>Christine Kaiser</dc:creator>
  <dc:description>The first species I named on my own reached me in a jar, its bright yellow spots already faded. Its name, which means a little plough ridge, is still my email address.</dc:description>
  <cp:lastModifiedBy>Un-named</cp:lastModifiedBy>
  <cp:revision>1</cp:revision>
  <dcterms:created xsi:type="dcterms:W3CDTF">2026-09-30T22:56:39.763Z</dcterms:created>
  <dcterms:modified xsi:type="dcterms:W3CDTF">2026-09-30T22:56:39.763Z</dcterms:modified>
</cp:coreProperties>
</file>

<file path=docProps/custom.xml><?xml version="1.0" encoding="utf-8"?>
<Properties xmlns="http://schemas.openxmlformats.org/officeDocument/2006/custom-properties" xmlns:vt="http://schemas.openxmlformats.org/officeDocument/2006/docPropsVTypes"/>
</file>